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4" w:type="pct"/>
        <w:tblCellSpacing w:w="15" w:type="dxa"/>
        <w:tblCellMar>
          <w:top w:w="15" w:type="dxa"/>
          <w:left w:w="15" w:type="dxa"/>
          <w:bottom w:w="15" w:type="dxa"/>
          <w:right w:w="15" w:type="dxa"/>
        </w:tblCellMar>
        <w:tblLook w:val="04A0"/>
      </w:tblPr>
      <w:tblGrid>
        <w:gridCol w:w="3837"/>
        <w:gridCol w:w="264"/>
        <w:gridCol w:w="5442"/>
      </w:tblGrid>
      <w:tr w:rsidR="00A445D9" w:rsidRPr="00A445D9" w:rsidTr="00A445D9">
        <w:trPr>
          <w:tblCellSpacing w:w="15" w:type="dxa"/>
        </w:trPr>
        <w:tc>
          <w:tcPr>
            <w:tcW w:w="2000" w:type="pct"/>
            <w:hideMark/>
          </w:tcPr>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BỘ KHOA HỌC VÀ CÔNG NGHỆ</w:t>
            </w:r>
          </w:p>
          <w:p w:rsidR="00A445D9" w:rsidRPr="00A445D9" w:rsidRDefault="00A445D9" w:rsidP="00A445D9">
            <w:pPr>
              <w:jc w:val="center"/>
              <w:rPr>
                <w:rFonts w:ascii="Times New Roman" w:hAnsi="Times New Roman"/>
                <w:sz w:val="24"/>
                <w:szCs w:val="24"/>
              </w:rPr>
            </w:pPr>
            <w:r w:rsidRPr="00A445D9">
              <w:rPr>
                <w:rFonts w:ascii="Times New Roman" w:hAnsi="Times New Roman"/>
                <w:sz w:val="24"/>
                <w:szCs w:val="24"/>
              </w:rPr>
              <w:t>Số: 23/2014/TT-BKHCN</w:t>
            </w:r>
          </w:p>
        </w:tc>
        <w:tc>
          <w:tcPr>
            <w:tcW w:w="123" w:type="pct"/>
            <w:vAlign w:val="center"/>
            <w:hideMark/>
          </w:tcPr>
          <w:p w:rsidR="00A445D9" w:rsidRPr="00A445D9" w:rsidRDefault="00A445D9" w:rsidP="00A445D9">
            <w:pPr>
              <w:rPr>
                <w:rFonts w:ascii="Times New Roman" w:hAnsi="Times New Roman"/>
                <w:sz w:val="24"/>
                <w:szCs w:val="24"/>
              </w:rPr>
            </w:pPr>
          </w:p>
        </w:tc>
        <w:tc>
          <w:tcPr>
            <w:tcW w:w="2814" w:type="pct"/>
            <w:hideMark/>
          </w:tcPr>
          <w:p w:rsidR="00A445D9" w:rsidRPr="00A445D9" w:rsidRDefault="00A445D9" w:rsidP="00A445D9">
            <w:pPr>
              <w:ind w:left="-379" w:firstLine="379"/>
              <w:jc w:val="center"/>
              <w:rPr>
                <w:rFonts w:ascii="Times New Roman" w:hAnsi="Times New Roman"/>
                <w:sz w:val="24"/>
                <w:szCs w:val="24"/>
              </w:rPr>
            </w:pPr>
            <w:r w:rsidRPr="00A445D9">
              <w:rPr>
                <w:rFonts w:ascii="Times New Roman" w:hAnsi="Times New Roman"/>
                <w:b/>
                <w:bCs/>
                <w:sz w:val="24"/>
                <w:szCs w:val="24"/>
              </w:rPr>
              <w:t>CỘNG HOÀ XÃ HỘI CHỦ NGHĨA VIỆT NAM</w:t>
            </w:r>
          </w:p>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Độc lập - Tự do - Hạnh phúc</w:t>
            </w:r>
          </w:p>
          <w:p w:rsidR="00A445D9" w:rsidRPr="00A445D9" w:rsidRDefault="00A445D9" w:rsidP="00A445D9">
            <w:pPr>
              <w:jc w:val="right"/>
              <w:rPr>
                <w:rFonts w:ascii="Times New Roman" w:hAnsi="Times New Roman"/>
                <w:sz w:val="24"/>
                <w:szCs w:val="24"/>
              </w:rPr>
            </w:pPr>
            <w:r w:rsidRPr="00A445D9">
              <w:rPr>
                <w:rFonts w:ascii="Times New Roman" w:hAnsi="Times New Roman"/>
                <w:i/>
                <w:iCs/>
                <w:sz w:val="24"/>
                <w:szCs w:val="24"/>
              </w:rPr>
              <w:t>Hà Nội, ngày 19 tháng 09 năm 2014</w:t>
            </w:r>
            <w:r w:rsidRPr="00A445D9">
              <w:rPr>
                <w:rFonts w:ascii="Times New Roman" w:hAnsi="Times New Roman"/>
                <w:sz w:val="24"/>
                <w:szCs w:val="24"/>
              </w:rPr>
              <w:t>                          </w:t>
            </w:r>
          </w:p>
        </w:tc>
      </w:tr>
      <w:tr w:rsidR="00A445D9" w:rsidRPr="00A445D9" w:rsidTr="00A445D9">
        <w:trPr>
          <w:tblCellSpacing w:w="15" w:type="dxa"/>
        </w:trPr>
        <w:tc>
          <w:tcPr>
            <w:tcW w:w="4969" w:type="pct"/>
            <w:gridSpan w:val="3"/>
            <w:vAlign w:val="center"/>
            <w:hideMark/>
          </w:tcPr>
          <w:p w:rsidR="00A445D9" w:rsidRPr="00A445D9" w:rsidRDefault="00A445D9" w:rsidP="00A445D9">
            <w:pPr>
              <w:rPr>
                <w:rFonts w:ascii="Times New Roman" w:hAnsi="Times New Roman"/>
                <w:sz w:val="24"/>
                <w:szCs w:val="24"/>
              </w:rPr>
            </w:pPr>
          </w:p>
        </w:tc>
      </w:tr>
      <w:tr w:rsidR="00A445D9" w:rsidRPr="00A445D9" w:rsidTr="00A445D9">
        <w:trPr>
          <w:tblCellSpacing w:w="15" w:type="dxa"/>
        </w:trPr>
        <w:tc>
          <w:tcPr>
            <w:tcW w:w="4969" w:type="pct"/>
            <w:gridSpan w:val="3"/>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THÔNG TƯ</w:t>
            </w:r>
          </w:p>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Về việc sửa đổi, bổ sung một số điều Thông tư số 10/2014/TT-BKHCN</w:t>
            </w:r>
          </w:p>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ngày 30 tháng 5 năm 2014 của Bộ trưởng Bộ Khoa học và Công nghệ quy định tuyển chọn,</w:t>
            </w:r>
          </w:p>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 xml:space="preserve"> giao trực tiếp tổ chức và cá nhân thực hiện nhiệm vụ khoa học và công nghệ cấp quốc gia </w:t>
            </w:r>
          </w:p>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sử dụng ngân sách nhà nước</w:t>
            </w:r>
          </w:p>
          <w:p w:rsidR="00A445D9" w:rsidRPr="00A445D9" w:rsidRDefault="00A445D9" w:rsidP="00A445D9">
            <w:pPr>
              <w:jc w:val="center"/>
              <w:rPr>
                <w:rFonts w:ascii="Times New Roman" w:hAnsi="Times New Roman"/>
                <w:sz w:val="24"/>
                <w:szCs w:val="24"/>
              </w:rPr>
            </w:pPr>
            <w:r w:rsidRPr="00A445D9">
              <w:rPr>
                <w:rFonts w:ascii="Times New Roman" w:hAnsi="Times New Roman"/>
                <w:sz w:val="24"/>
                <w:szCs w:val="24"/>
              </w:rPr>
              <w:t>__________________</w:t>
            </w:r>
          </w:p>
          <w:p w:rsidR="00A445D9" w:rsidRPr="00A445D9" w:rsidRDefault="00A445D9" w:rsidP="00A445D9">
            <w:pPr>
              <w:jc w:val="right"/>
              <w:rPr>
                <w:rFonts w:ascii="Times New Roman" w:hAnsi="Times New Roman"/>
                <w:sz w:val="24"/>
                <w:szCs w:val="24"/>
              </w:rPr>
            </w:pPr>
            <w:r w:rsidRPr="00A445D9">
              <w:rPr>
                <w:rFonts w:ascii="Times New Roman" w:hAnsi="Times New Roman"/>
                <w:sz w:val="24"/>
                <w:szCs w:val="24"/>
              </w:rPr>
              <w:t> </w:t>
            </w:r>
          </w:p>
          <w:p w:rsidR="00A445D9" w:rsidRPr="00A445D9" w:rsidRDefault="00A445D9" w:rsidP="00A445D9">
            <w:pPr>
              <w:rPr>
                <w:rFonts w:ascii="Times New Roman" w:hAnsi="Times New Roman"/>
                <w:sz w:val="24"/>
                <w:szCs w:val="24"/>
              </w:rPr>
            </w:pPr>
            <w:r w:rsidRPr="00A445D9">
              <w:rPr>
                <w:rFonts w:ascii="Times New Roman" w:hAnsi="Times New Roman"/>
                <w:i/>
                <w:iCs/>
                <w:sz w:val="24"/>
                <w:szCs w:val="24"/>
              </w:rPr>
              <w:t>Căn cứ Luật Khoa học và công nghệ ngày 18 tháng 6 năm 2013;</w:t>
            </w:r>
          </w:p>
          <w:p w:rsidR="00A445D9" w:rsidRPr="00A445D9" w:rsidRDefault="00A445D9" w:rsidP="00A445D9">
            <w:pPr>
              <w:rPr>
                <w:rFonts w:ascii="Times New Roman" w:hAnsi="Times New Roman"/>
                <w:sz w:val="24"/>
                <w:szCs w:val="24"/>
              </w:rPr>
            </w:pPr>
            <w:r w:rsidRPr="00A445D9">
              <w:rPr>
                <w:rFonts w:ascii="Times New Roman" w:hAnsi="Times New Roman"/>
                <w:i/>
                <w:iCs/>
                <w:sz w:val="24"/>
                <w:szCs w:val="24"/>
              </w:rPr>
              <w:t>Căn cứ Nghị định số 08/2014/NĐ-CP ngày 27 tháng 01 năm 2014 của Chính phủ quy định chi tiết và hướng dẫn thi hành một số điều của Luật khoa học và công nghệ;</w:t>
            </w:r>
          </w:p>
          <w:p w:rsidR="00A445D9" w:rsidRPr="00A445D9" w:rsidRDefault="00A445D9" w:rsidP="00A445D9">
            <w:pPr>
              <w:rPr>
                <w:rFonts w:ascii="Times New Roman" w:hAnsi="Times New Roman"/>
                <w:sz w:val="24"/>
                <w:szCs w:val="24"/>
              </w:rPr>
            </w:pPr>
            <w:r w:rsidRPr="00A445D9">
              <w:rPr>
                <w:rFonts w:ascii="Times New Roman" w:hAnsi="Times New Roman"/>
                <w:i/>
                <w:iCs/>
                <w:sz w:val="24"/>
                <w:szCs w:val="24"/>
              </w:rPr>
              <w:t>Căn cứ Nghị định số 20/2013/NĐ-CP ngày 26 tháng 02 năm 2013 của Chính phủ quy định chức năng, nhiệm vụ, quyền hạn và cơ cấu tổ chức của Bộ Khoa học và Công nghệ;</w:t>
            </w:r>
          </w:p>
          <w:p w:rsidR="00A445D9" w:rsidRPr="00A445D9" w:rsidRDefault="00A445D9" w:rsidP="00A445D9">
            <w:pPr>
              <w:rPr>
                <w:rFonts w:ascii="Times New Roman" w:hAnsi="Times New Roman"/>
                <w:sz w:val="24"/>
                <w:szCs w:val="24"/>
              </w:rPr>
            </w:pPr>
            <w:r w:rsidRPr="00A445D9">
              <w:rPr>
                <w:rFonts w:ascii="Times New Roman" w:hAnsi="Times New Roman"/>
                <w:i/>
                <w:iCs/>
                <w:sz w:val="24"/>
                <w:szCs w:val="24"/>
              </w:rPr>
              <w:t>Theo đề nghị của Vụ trưởng Vụ Pháp chế;</w:t>
            </w:r>
          </w:p>
          <w:p w:rsidR="00A445D9" w:rsidRPr="00A445D9" w:rsidRDefault="00A445D9" w:rsidP="00A445D9">
            <w:pPr>
              <w:rPr>
                <w:rFonts w:ascii="Times New Roman" w:hAnsi="Times New Roman"/>
                <w:sz w:val="24"/>
                <w:szCs w:val="24"/>
              </w:rPr>
            </w:pPr>
            <w:r w:rsidRPr="00A445D9">
              <w:rPr>
                <w:rFonts w:ascii="Times New Roman" w:hAnsi="Times New Roman"/>
                <w:i/>
                <w:iCs/>
                <w:sz w:val="24"/>
                <w:szCs w:val="24"/>
              </w:rPr>
              <w:t>Bộ trưởng Bộ Khoa học và Công nghệ ban hành Thông tư về việc sửa đổi, bổ sung một số điều Thông tư số 10/2014/TT-BKHCN ngày 30 tháng 5 năm 2014 của Bộ trưởng Bộ Khoa học và Công nghệ quy định tuyển chọn, giao trực tiếp tổ chức và cá nhân thực hiện nhiệm vụ khoa học và công nghệ cấp quốc gia sử dụng ngân sách nhà nước (sau đây gọi tắt là Thông tư số 10/2014/TT-BKHCN).</w:t>
            </w:r>
          </w:p>
          <w:p w:rsidR="00A445D9" w:rsidRPr="00A445D9" w:rsidRDefault="00A445D9" w:rsidP="00A445D9">
            <w:pPr>
              <w:rPr>
                <w:rFonts w:ascii="Times New Roman" w:hAnsi="Times New Roman"/>
                <w:sz w:val="24"/>
                <w:szCs w:val="24"/>
              </w:rPr>
            </w:pPr>
            <w:r w:rsidRPr="00A445D9">
              <w:rPr>
                <w:rFonts w:ascii="Times New Roman" w:hAnsi="Times New Roman"/>
                <w:b/>
                <w:bCs/>
                <w:sz w:val="24"/>
                <w:szCs w:val="24"/>
              </w:rPr>
              <w:t xml:space="preserve">Điều </w:t>
            </w:r>
            <w:bookmarkStart w:id="0" w:name="Dieu_1"/>
            <w:bookmarkEnd w:id="0"/>
            <w:r w:rsidRPr="00A445D9">
              <w:rPr>
                <w:rFonts w:ascii="Times New Roman" w:hAnsi="Times New Roman"/>
                <w:b/>
                <w:bCs/>
                <w:sz w:val="24"/>
                <w:szCs w:val="24"/>
              </w:rPr>
              <w:t>1.</w:t>
            </w:r>
            <w:r w:rsidRPr="00A445D9">
              <w:rPr>
                <w:rFonts w:ascii="Times New Roman" w:hAnsi="Times New Roman"/>
                <w:sz w:val="24"/>
                <w:szCs w:val="24"/>
              </w:rPr>
              <w:t xml:space="preserve"> Sửa đổi, bổ sung một số điều của Thông tư số 10/2014/TT- BKHCN:</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1. Sửa đổi Khoản 9 Điều 5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“9. Đối với nhiệm vụ khoa học và công nghệ theo quy định pháp luật phải có vốn đối ứng: Văn bản pháp lý cam kết và giải trình khả năng huy động vốn từ các nguồn ngoài ngân sách nhà nước (báo cáo tài chính của tổ chức đăng ký chủ trì nhiệm vụ khoa học và công nghệ trong 02 năm gần nhất tính từ thời điểm nộp hồ sơ đăng ký thực hiện nhiệm vụ; cam kết cho vay vốn hoặc bảo lãnh vay vốn của các tổ chức tín dụng; cam kết pháp lý và giấy tờ xác nhận về việc đóng góp vốn của tổ chức chủ trì và các tổ chức tham gia dự án).”</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2. Sửa đổi Khoản 5 Điều 8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“5. Tổ thẩm định kinh phí nhiệm vụ khoa học và công nghệ (sau đây gọi là tổ thẩm định) có 03 thành viên, trong đó:</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a) Tổ trưởng tổ thẩm định là lãnh đạo đơn vị quản lý nhiệm vụ thuộc Bộ chủ trì nhiệm vụ;</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b) Tổ phó tổ thẩm định là đại diện đơn vị quản lý kinh phí của Bộ chủ trì nhiệm vụ;</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c) 01 thành viên là chủ tịch hoặc phó chủ tịch hoặc chuyên gia phản biện của hội đồng tuyển chọn, giao trực tiếp tổ chức và cá nhân thực hiện nhiệm vụ khoa học và công nghệ.</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Đại diện đơn vị tổng hợp kế hoạch khoa học và công nghệ của Bộ chủ trì nhiệm vụ không phải là thành viên Tổ thẩm định nhưng được quyền tham dự toàn bộ cuộc họp của Tổ thẩm định. Ngoài ra, theo yêu cầu thực tiễn, Tổ trưởng Tổ thẩm định có thể mời thêm đại diện các tổ chức, đơn vị và cá nhân khác có liên quan tham dự và phát biểu ý kiến tại cuộc họp của Tổ thẩm định.”</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3. Sửa đổi Điều 12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“Điều 12. Đánh giá hồ sơ tuyển chọn, giao trực tiếp tổ chức và cá nhân thực hiện nhiệm vụ khoa học và công nghệ</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Đánh giá hồ sơ tuyển chọn, giao trực tiếp tổ chức và cá nhân thực hiện nhiệm vụ khoa học và công nghệ được đánh giá, chấm điểm tối đa 100 điểm theo các nhóm tiêu chí và thang điểm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1. Đề tài nghiên cứu ứng dụng và phát triển công nghệ:</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a) Đánh giá tổng quan (điểm tối đa 8);</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b) Nội dung, phương pháp nghiên cứu và kỹ thuật sử dụng (điểm tối đa 24);</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c) Tính mới, tính đủ của sản phẩm khoa học và công nghệ (điểm tối đa 16);</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d) Phương án chuyển giao ứng dụng các sản phẩm và phương án tổ chức để triển khai ứng dụng sản phẩm (điểm tối đa 16);</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 Tính khả thi về kế hoạch và kinh phí thực hiện (điểm tối đa 20);</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e) Năng lực của tổ chức và các cá nhân tham gia (điểm tối đa 16).</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2. Đề tài nghiên cứu khoa học xã hội và nhân văn và đề án khoa học</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lastRenderedPageBreak/>
              <w:t>a) Tổng quan tình hình nghiên cứu (điểm tối đa 12);</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b) Nội dung và hoạt động hỗ trợ nghiên cứu (điểm tối đa 12);</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c) Cách tiếp cận và phương pháp nghiên cứu (điểm tối đa 12);</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d) Tính khả thi về kế hoạch và kinh phí thực hiện (điểm tối đa 20);</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 Tính mới của sản phẩm, lợi ích kết quả của đề tài và phương án chuyển giao sản phẩm, kết quả nghiên cứu (điểm tối đa 24);</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e) Năng lực và kinh nghiệm của tổ chức, cá nhân thực hiện (điểm tối đa 20).</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3. Đề tài trong các lĩnh vực khác, tùy thuộc vào nội dung nghiên cứu áp dụng tiêu chí và thang điểm quy định tại Khoản 1 hoặc Khoản 2 của Điều này.</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4. Dự án sản xuất thử nghiệm:</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a) Tổng quan về các vấn đề công nghệ và thị trường của dự án (điểm tối đa 8);</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b) Nội dung và phương án triển khai (điểm tối đa 24);</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c) Tính mới và tính khả thi của công nghệ (điểm tối đa 12);</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d) Khả năng phát triển và hiệu quả kinh tế-xã hội dự kiến của dự án (điểm tối đa 16);</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đ) Phương án tài chính (điểm tối đa 24);</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e) Năng lực thực hiện (điểm tối đa 16)”</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4. Sửa đổi điểm a, khoản 1 Điều 13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“a) Phải có mặt đủ 03 thành viên Tổ thẩm định.”</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5. Sửa đổi khoản 3 Điều 13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“3. Tổ thẩm định có trách nhiệm báo cáo bằng văn bản cho Bộ trưởng Bộ chủ trì nhiệm vụ và đề xuất phương án xử lý những vấn đề quá thẩm quyền giải quyết phát sinh trong quá trình xem xét hồ sơ nhiệm vụ khoa học và công nghệ để Bộ trưởng Bộ chủ trì nhiệm vụ xem xét quyết định trong các trường hợp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a) Thuyết minh nhiệm vụ khoa học và công nghệ đã được chỉnh sửa sau khi họp Hội đồng có sự thay đổi về mục tiêu, nội dung so với quyết định danh mục đặt hàng đã được phê duyệt hoặc kết luận của hội đồng tuyển chọn, giao trực tiếp;</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b) Không thống nhất ý kiến giữa Tổ thẩm định và chủ nhiệm nhiệm vụ khoa học và công nghệ về kinh phí thực hiện;</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c) Thành viên Tổ thẩm định không nhất trí với kết luận chung của Tổ thẩm định và đề nghị bảo lưu ý kiến.”</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6. Bổ sung khoản 7 Điều 14 như sau:</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“7. Sau khi Tổ thẩm định có ý kiến kết luận, Chủ nhiệm nhiệm vụ được mời tham dự lại cuộc họp của Tổ thẩm định để nghe thông báo về kết luận của Tổ thẩm định. Chủ nhiệm nhiệm vụ có quyền nêu ý kiến nếu không đồng ý với kết luận của Tổ thẩm định và Tổ thẩm định có trách nhiệm báo cáo lại Bộ trưởng Bộ chủ trì nhiệm vụ.”</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7. Thay thế Biểu mẫu tại Phụ lục II kèm theo Thông tư số 10/2014/TT-BKHCN bằng Biểu mẫu áp dụng cho việc đánh giá hồ sơ tuyển chọn, giao trực tiếp tổ chức, cá nhân chủ trì nhiệm vụ khoa học và công nghệ cấp quốc gia tại Phụ lục II kèm theo Thông tư này.</w:t>
            </w:r>
          </w:p>
          <w:p w:rsidR="00A445D9" w:rsidRPr="00A445D9" w:rsidRDefault="00A445D9" w:rsidP="00A445D9">
            <w:pPr>
              <w:rPr>
                <w:rFonts w:ascii="Times New Roman" w:hAnsi="Times New Roman"/>
                <w:sz w:val="24"/>
                <w:szCs w:val="24"/>
              </w:rPr>
            </w:pPr>
            <w:r w:rsidRPr="00A445D9">
              <w:rPr>
                <w:rFonts w:ascii="Times New Roman" w:hAnsi="Times New Roman"/>
                <w:b/>
                <w:bCs/>
                <w:sz w:val="24"/>
                <w:szCs w:val="24"/>
              </w:rPr>
              <w:t xml:space="preserve">Điều </w:t>
            </w:r>
            <w:bookmarkStart w:id="1" w:name="Dieu_2"/>
            <w:bookmarkEnd w:id="1"/>
            <w:r w:rsidRPr="00A445D9">
              <w:rPr>
                <w:rFonts w:ascii="Times New Roman" w:hAnsi="Times New Roman"/>
                <w:b/>
                <w:bCs/>
                <w:sz w:val="24"/>
                <w:szCs w:val="24"/>
              </w:rPr>
              <w:t>2. Hiệu lực thi hành</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1. Thông tư này có hiệu lực thi hành kể từ ngày 05 tháng 11 năm 2014.</w:t>
            </w:r>
          </w:p>
          <w:p w:rsidR="00A445D9" w:rsidRPr="00A445D9" w:rsidRDefault="00A445D9" w:rsidP="00A445D9">
            <w:pPr>
              <w:rPr>
                <w:rFonts w:ascii="Times New Roman" w:hAnsi="Times New Roman"/>
                <w:sz w:val="24"/>
                <w:szCs w:val="24"/>
              </w:rPr>
            </w:pPr>
            <w:r w:rsidRPr="00A445D9">
              <w:rPr>
                <w:rFonts w:ascii="Times New Roman" w:hAnsi="Times New Roman"/>
                <w:sz w:val="24"/>
                <w:szCs w:val="24"/>
              </w:rPr>
              <w:t>2. Trong quá trình thực hiện nếu phát sinh vướng mắc, đề nghị các cơ quan, tổ chức, cá nhân phản ánh kịp thời về Bộ Khoa học và Công nghệ để nghiên cứu, sửa đổi bổ sung./.</w:t>
            </w:r>
          </w:p>
        </w:tc>
      </w:tr>
      <w:tr w:rsidR="00A445D9" w:rsidRPr="00A445D9" w:rsidTr="00A445D9">
        <w:trPr>
          <w:tblCellSpacing w:w="15" w:type="dxa"/>
        </w:trPr>
        <w:tc>
          <w:tcPr>
            <w:tcW w:w="4969" w:type="pct"/>
            <w:gridSpan w:val="3"/>
            <w:vAlign w:val="center"/>
            <w:hideMark/>
          </w:tcPr>
          <w:tbl>
            <w:tblPr>
              <w:tblW w:w="1650" w:type="pct"/>
              <w:jc w:val="right"/>
              <w:tblCellSpacing w:w="15" w:type="dxa"/>
              <w:tblCellMar>
                <w:top w:w="15" w:type="dxa"/>
                <w:left w:w="15" w:type="dxa"/>
                <w:bottom w:w="15" w:type="dxa"/>
                <w:right w:w="15" w:type="dxa"/>
              </w:tblCellMar>
              <w:tblLook w:val="04A0"/>
            </w:tblPr>
            <w:tblGrid>
              <w:gridCol w:w="3119"/>
            </w:tblGrid>
            <w:tr w:rsidR="00A445D9" w:rsidRPr="00A445D9">
              <w:trPr>
                <w:tblCellSpacing w:w="15" w:type="dxa"/>
                <w:jc w:val="right"/>
              </w:trPr>
              <w:tc>
                <w:tcPr>
                  <w:tcW w:w="5000" w:type="pct"/>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lastRenderedPageBreak/>
                    <w:t>BỘ TRƯỞNG</w:t>
                  </w:r>
                </w:p>
              </w:tc>
            </w:tr>
            <w:tr w:rsidR="00A445D9" w:rsidRPr="00A445D9">
              <w:trPr>
                <w:tblCellSpacing w:w="15" w:type="dxa"/>
                <w:jc w:val="right"/>
              </w:trPr>
              <w:tc>
                <w:tcPr>
                  <w:tcW w:w="5000" w:type="pct"/>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i/>
                      <w:iCs/>
                      <w:sz w:val="24"/>
                      <w:szCs w:val="24"/>
                    </w:rPr>
                    <w:t>(Đã ký)</w:t>
                  </w:r>
                </w:p>
              </w:tc>
            </w:tr>
            <w:tr w:rsidR="00A445D9" w:rsidRPr="00A445D9">
              <w:trPr>
                <w:tblCellSpacing w:w="15" w:type="dxa"/>
                <w:jc w:val="right"/>
              </w:trPr>
              <w:tc>
                <w:tcPr>
                  <w:tcW w:w="5000" w:type="pct"/>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sz w:val="24"/>
                      <w:szCs w:val="24"/>
                    </w:rPr>
                    <w:t> </w:t>
                  </w:r>
                </w:p>
              </w:tc>
            </w:tr>
            <w:tr w:rsidR="00A445D9" w:rsidRPr="00A445D9">
              <w:trPr>
                <w:tblCellSpacing w:w="15" w:type="dxa"/>
                <w:jc w:val="right"/>
              </w:trPr>
              <w:tc>
                <w:tcPr>
                  <w:tcW w:w="5000" w:type="pct"/>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sz w:val="24"/>
                      <w:szCs w:val="24"/>
                    </w:rPr>
                    <w:t> </w:t>
                  </w:r>
                </w:p>
              </w:tc>
            </w:tr>
            <w:tr w:rsidR="00A445D9" w:rsidRPr="00A445D9">
              <w:trPr>
                <w:tblCellSpacing w:w="15" w:type="dxa"/>
                <w:jc w:val="right"/>
              </w:trPr>
              <w:tc>
                <w:tcPr>
                  <w:tcW w:w="5000" w:type="pct"/>
                  <w:vAlign w:val="center"/>
                  <w:hideMark/>
                </w:tcPr>
                <w:p w:rsidR="00A445D9" w:rsidRPr="00A445D9" w:rsidRDefault="00A445D9" w:rsidP="00A445D9">
                  <w:pPr>
                    <w:jc w:val="center"/>
                    <w:rPr>
                      <w:rFonts w:ascii="Times New Roman" w:hAnsi="Times New Roman"/>
                      <w:sz w:val="24"/>
                      <w:szCs w:val="24"/>
                    </w:rPr>
                  </w:pPr>
                  <w:r w:rsidRPr="00A445D9">
                    <w:rPr>
                      <w:rFonts w:ascii="Times New Roman" w:hAnsi="Times New Roman"/>
                      <w:b/>
                      <w:bCs/>
                      <w:sz w:val="24"/>
                      <w:szCs w:val="24"/>
                    </w:rPr>
                    <w:t>Nguyễn Quân</w:t>
                  </w:r>
                </w:p>
              </w:tc>
            </w:tr>
          </w:tbl>
          <w:p w:rsidR="00A445D9" w:rsidRPr="00A445D9" w:rsidRDefault="00A445D9" w:rsidP="00A445D9">
            <w:pPr>
              <w:jc w:val="right"/>
              <w:rPr>
                <w:rFonts w:ascii="Times New Roman" w:hAnsi="Times New Roman"/>
                <w:sz w:val="24"/>
                <w:szCs w:val="24"/>
              </w:rPr>
            </w:pPr>
          </w:p>
        </w:tc>
      </w:tr>
    </w:tbl>
    <w:p w:rsidR="00F1064E" w:rsidRDefault="00F1064E" w:rsidP="00A445D9"/>
    <w:sectPr w:rsidR="00F1064E" w:rsidSect="00A445D9">
      <w:pgSz w:w="11909" w:h="16834" w:code="9"/>
      <w:pgMar w:top="851"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displayVerticalDrawingGridEvery w:val="2"/>
  <w:characterSpacingControl w:val="doNotCompress"/>
  <w:compat/>
  <w:rsids>
    <w:rsidRoot w:val="00A445D9"/>
    <w:rsid w:val="001C2648"/>
    <w:rsid w:val="002A07A9"/>
    <w:rsid w:val="00622503"/>
    <w:rsid w:val="00986267"/>
    <w:rsid w:val="00A445D9"/>
    <w:rsid w:val="00BC5EDD"/>
    <w:rsid w:val="00C37020"/>
    <w:rsid w:val="00E37D3A"/>
    <w:rsid w:val="00F1064E"/>
    <w:rsid w:val="00FE2C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648"/>
    <w:rPr>
      <w:rFonts w:ascii=".VnTime" w:hAnsi=".VnTime"/>
      <w:sz w:val="28"/>
      <w:szCs w:val="28"/>
    </w:rPr>
  </w:style>
  <w:style w:type="paragraph" w:styleId="Heading1">
    <w:name w:val="heading 1"/>
    <w:aliases w:val="BVI,RepHead1"/>
    <w:basedOn w:val="Normal"/>
    <w:next w:val="Normal"/>
    <w:link w:val="Heading1Char"/>
    <w:qFormat/>
    <w:rsid w:val="001C2648"/>
    <w:pPr>
      <w:keepNext/>
      <w:spacing w:before="60" w:after="60"/>
      <w:outlineLvl w:val="0"/>
    </w:pPr>
    <w:rPr>
      <w:b/>
      <w:szCs w:val="20"/>
    </w:rPr>
  </w:style>
  <w:style w:type="paragraph" w:styleId="Heading2">
    <w:name w:val="heading 2"/>
    <w:aliases w:val="BVI2,Heading 2-BVI,RepHead2"/>
    <w:basedOn w:val="Normal"/>
    <w:next w:val="Normal"/>
    <w:link w:val="Heading2Char"/>
    <w:qFormat/>
    <w:rsid w:val="001C2648"/>
    <w:pPr>
      <w:keepNext/>
      <w:spacing w:before="60" w:after="60"/>
      <w:ind w:firstLine="720"/>
      <w:outlineLvl w:val="1"/>
    </w:pPr>
    <w:rPr>
      <w:i/>
      <w:szCs w:val="20"/>
    </w:rPr>
  </w:style>
  <w:style w:type="paragraph" w:styleId="Heading3">
    <w:name w:val="heading 3"/>
    <w:basedOn w:val="Normal"/>
    <w:next w:val="Normal"/>
    <w:link w:val="Heading3Char"/>
    <w:qFormat/>
    <w:rsid w:val="001C2648"/>
    <w:pPr>
      <w:keepNext/>
      <w:widowControl w:val="0"/>
      <w:tabs>
        <w:tab w:val="left" w:pos="851"/>
      </w:tabs>
      <w:ind w:left="851"/>
      <w:jc w:val="center"/>
      <w:outlineLvl w:val="2"/>
    </w:pPr>
    <w:rPr>
      <w:rFonts w:ascii=".VnTimeH" w:hAnsi=".VnTimeH"/>
      <w:b/>
      <w:sz w:val="26"/>
      <w:szCs w:val="20"/>
    </w:rPr>
  </w:style>
  <w:style w:type="paragraph" w:styleId="Heading4">
    <w:name w:val="heading 4"/>
    <w:basedOn w:val="Normal"/>
    <w:next w:val="Normal"/>
    <w:link w:val="Heading4Char"/>
    <w:qFormat/>
    <w:rsid w:val="001C2648"/>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1C2648"/>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1C2648"/>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C2648"/>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1C2648"/>
    <w:pPr>
      <w:keepNext/>
      <w:tabs>
        <w:tab w:val="left" w:pos="851"/>
      </w:tabs>
      <w:ind w:left="851"/>
      <w:jc w:val="center"/>
      <w:outlineLvl w:val="7"/>
    </w:pPr>
    <w:rPr>
      <w:rFonts w:ascii=".VnTimeH" w:hAnsi=".VnTimeH"/>
      <w:b/>
      <w:szCs w:val="20"/>
    </w:rPr>
  </w:style>
  <w:style w:type="paragraph" w:styleId="Heading9">
    <w:name w:val="heading 9"/>
    <w:basedOn w:val="Normal"/>
    <w:next w:val="Normal"/>
    <w:link w:val="Heading9Char"/>
    <w:qFormat/>
    <w:rsid w:val="001C264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rsid w:val="00986267"/>
    <w:rPr>
      <w:rFonts w:ascii=".VnTime" w:hAnsi=".VnTime"/>
      <w:b/>
      <w:sz w:val="28"/>
    </w:rPr>
  </w:style>
  <w:style w:type="character" w:customStyle="1" w:styleId="Heading2Char">
    <w:name w:val="Heading 2 Char"/>
    <w:aliases w:val="BVI2 Char,Heading 2-BVI Char,RepHead2 Char"/>
    <w:basedOn w:val="DefaultParagraphFont"/>
    <w:link w:val="Heading2"/>
    <w:rsid w:val="001C2648"/>
    <w:rPr>
      <w:rFonts w:ascii=".VnTime" w:hAnsi=".VnTime"/>
      <w:i/>
      <w:sz w:val="28"/>
    </w:rPr>
  </w:style>
  <w:style w:type="character" w:customStyle="1" w:styleId="Heading3Char">
    <w:name w:val="Heading 3 Char"/>
    <w:basedOn w:val="DefaultParagraphFont"/>
    <w:link w:val="Heading3"/>
    <w:rsid w:val="001C2648"/>
    <w:rPr>
      <w:rFonts w:ascii=".VnTimeH" w:hAnsi=".VnTimeH"/>
      <w:b/>
      <w:sz w:val="26"/>
    </w:rPr>
  </w:style>
  <w:style w:type="character" w:customStyle="1" w:styleId="Heading4Char">
    <w:name w:val="Heading 4 Char"/>
    <w:basedOn w:val="DefaultParagraphFont"/>
    <w:link w:val="Heading4"/>
    <w:rsid w:val="001C2648"/>
    <w:rPr>
      <w:b/>
      <w:bCs/>
      <w:sz w:val="28"/>
      <w:szCs w:val="28"/>
    </w:rPr>
  </w:style>
  <w:style w:type="character" w:customStyle="1" w:styleId="Heading5Char">
    <w:name w:val="Heading 5 Char"/>
    <w:basedOn w:val="DefaultParagraphFont"/>
    <w:link w:val="Heading5"/>
    <w:rsid w:val="001C2648"/>
    <w:rPr>
      <w:rFonts w:ascii="VnTime" w:hAnsi="VnTime"/>
      <w:b/>
      <w:bCs/>
      <w:i/>
      <w:iCs/>
      <w:sz w:val="26"/>
      <w:szCs w:val="26"/>
    </w:rPr>
  </w:style>
  <w:style w:type="character" w:customStyle="1" w:styleId="Heading6Char">
    <w:name w:val="Heading 6 Char"/>
    <w:basedOn w:val="DefaultParagraphFont"/>
    <w:link w:val="Heading6"/>
    <w:rsid w:val="001C2648"/>
    <w:rPr>
      <w:b/>
      <w:bCs/>
      <w:sz w:val="22"/>
      <w:szCs w:val="22"/>
    </w:rPr>
  </w:style>
  <w:style w:type="character" w:customStyle="1" w:styleId="Heading7Char">
    <w:name w:val="Heading 7 Char"/>
    <w:basedOn w:val="DefaultParagraphFont"/>
    <w:link w:val="Heading7"/>
    <w:rsid w:val="001C2648"/>
    <w:rPr>
      <w:sz w:val="24"/>
      <w:szCs w:val="24"/>
    </w:rPr>
  </w:style>
  <w:style w:type="character" w:customStyle="1" w:styleId="Heading8Char">
    <w:name w:val="Heading 8 Char"/>
    <w:basedOn w:val="DefaultParagraphFont"/>
    <w:link w:val="Heading8"/>
    <w:rsid w:val="001C2648"/>
    <w:rPr>
      <w:rFonts w:ascii=".VnTimeH" w:hAnsi=".VnTimeH"/>
      <w:b/>
      <w:sz w:val="28"/>
    </w:rPr>
  </w:style>
  <w:style w:type="character" w:customStyle="1" w:styleId="Heading9Char">
    <w:name w:val="Heading 9 Char"/>
    <w:basedOn w:val="DefaultParagraphFont"/>
    <w:link w:val="Heading9"/>
    <w:rsid w:val="001C2648"/>
    <w:rPr>
      <w:rFonts w:ascii="Arial" w:hAnsi="Arial" w:cs="Arial"/>
      <w:sz w:val="22"/>
      <w:szCs w:val="22"/>
    </w:rPr>
  </w:style>
  <w:style w:type="paragraph" w:styleId="Title">
    <w:name w:val="Title"/>
    <w:basedOn w:val="Normal"/>
    <w:link w:val="TitleChar"/>
    <w:qFormat/>
    <w:rsid w:val="001C2648"/>
    <w:pPr>
      <w:jc w:val="center"/>
    </w:pPr>
    <w:rPr>
      <w:rFonts w:ascii=".VnTimeH" w:hAnsi=".VnTimeH"/>
      <w:b/>
      <w:szCs w:val="20"/>
    </w:rPr>
  </w:style>
  <w:style w:type="character" w:customStyle="1" w:styleId="TitleChar">
    <w:name w:val="Title Char"/>
    <w:basedOn w:val="DefaultParagraphFont"/>
    <w:link w:val="Title"/>
    <w:rsid w:val="001C2648"/>
    <w:rPr>
      <w:rFonts w:ascii=".VnTimeH" w:hAnsi=".VnTimeH"/>
      <w:b/>
      <w:sz w:val="28"/>
    </w:rPr>
  </w:style>
  <w:style w:type="paragraph" w:styleId="Subtitle">
    <w:name w:val="Subtitle"/>
    <w:basedOn w:val="Normal"/>
    <w:link w:val="SubtitleChar"/>
    <w:qFormat/>
    <w:rsid w:val="001C2648"/>
    <w:pPr>
      <w:spacing w:before="60" w:after="60"/>
    </w:pPr>
    <w:rPr>
      <w:b/>
      <w:szCs w:val="20"/>
    </w:rPr>
  </w:style>
  <w:style w:type="character" w:customStyle="1" w:styleId="SubtitleChar">
    <w:name w:val="Subtitle Char"/>
    <w:basedOn w:val="DefaultParagraphFont"/>
    <w:link w:val="Subtitle"/>
    <w:rsid w:val="001C2648"/>
    <w:rPr>
      <w:rFonts w:ascii=".VnTime" w:hAnsi=".VnTime"/>
      <w:b/>
      <w:sz w:val="28"/>
    </w:rPr>
  </w:style>
  <w:style w:type="paragraph" w:styleId="NormalWeb">
    <w:name w:val="Normal (Web)"/>
    <w:basedOn w:val="Normal"/>
    <w:uiPriority w:val="99"/>
    <w:unhideWhenUsed/>
    <w:rsid w:val="00A445D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A445D9"/>
    <w:rPr>
      <w:b/>
      <w:bCs/>
    </w:rPr>
  </w:style>
  <w:style w:type="character" w:styleId="Emphasis">
    <w:name w:val="Emphasis"/>
    <w:basedOn w:val="DefaultParagraphFont"/>
    <w:uiPriority w:val="20"/>
    <w:qFormat/>
    <w:rsid w:val="00A445D9"/>
    <w:rPr>
      <w:i/>
      <w:iCs/>
    </w:rPr>
  </w:style>
</w:styles>
</file>

<file path=word/webSettings.xml><?xml version="1.0" encoding="utf-8"?>
<w:webSettings xmlns:r="http://schemas.openxmlformats.org/officeDocument/2006/relationships" xmlns:w="http://schemas.openxmlformats.org/wordprocessingml/2006/main">
  <w:divs>
    <w:div w:id="170218124">
      <w:bodyDiv w:val="1"/>
      <w:marLeft w:val="0"/>
      <w:marRight w:val="0"/>
      <w:marTop w:val="0"/>
      <w:marBottom w:val="0"/>
      <w:divBdr>
        <w:top w:val="none" w:sz="0" w:space="0" w:color="auto"/>
        <w:left w:val="none" w:sz="0" w:space="0" w:color="auto"/>
        <w:bottom w:val="none" w:sz="0" w:space="0" w:color="auto"/>
        <w:right w:val="none" w:sz="0" w:space="0" w:color="auto"/>
      </w:divBdr>
      <w:divsChild>
        <w:div w:id="1659577962">
          <w:marLeft w:val="0"/>
          <w:marRight w:val="0"/>
          <w:marTop w:val="0"/>
          <w:marBottom w:val="0"/>
          <w:divBdr>
            <w:top w:val="none" w:sz="0" w:space="0" w:color="auto"/>
            <w:left w:val="none" w:sz="0" w:space="0" w:color="auto"/>
            <w:bottom w:val="none" w:sz="0" w:space="0" w:color="auto"/>
            <w:right w:val="none" w:sz="0" w:space="0" w:color="auto"/>
          </w:divBdr>
        </w:div>
        <w:div w:id="1167525193">
          <w:marLeft w:val="0"/>
          <w:marRight w:val="0"/>
          <w:marTop w:val="0"/>
          <w:marBottom w:val="0"/>
          <w:divBdr>
            <w:top w:val="none" w:sz="0" w:space="0" w:color="auto"/>
            <w:left w:val="none" w:sz="0" w:space="0" w:color="auto"/>
            <w:bottom w:val="none" w:sz="0" w:space="0" w:color="auto"/>
            <w:right w:val="none" w:sz="0" w:space="0" w:color="auto"/>
          </w:divBdr>
        </w:div>
        <w:div w:id="1406416307">
          <w:marLeft w:val="0"/>
          <w:marRight w:val="0"/>
          <w:marTop w:val="0"/>
          <w:marBottom w:val="0"/>
          <w:divBdr>
            <w:top w:val="none" w:sz="0" w:space="0" w:color="auto"/>
            <w:left w:val="none" w:sz="0" w:space="0" w:color="auto"/>
            <w:bottom w:val="none" w:sz="0" w:space="0" w:color="auto"/>
            <w:right w:val="none" w:sz="0" w:space="0" w:color="auto"/>
          </w:divBdr>
        </w:div>
        <w:div w:id="1058361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958</Words>
  <Characters>5462</Characters>
  <Application>Microsoft Office Word</Application>
  <DocSecurity>0</DocSecurity>
  <Lines>45</Lines>
  <Paragraphs>12</Paragraphs>
  <ScaleCrop>false</ScaleCrop>
  <Company>Microsoft</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1</cp:revision>
  <dcterms:created xsi:type="dcterms:W3CDTF">2015-04-21T02:38:00Z</dcterms:created>
  <dcterms:modified xsi:type="dcterms:W3CDTF">2015-04-21T02:40:00Z</dcterms:modified>
</cp:coreProperties>
</file>